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1966</w:t>
      </w:r>
    </w:p>
    <w:p w:rsidR="00000000" w:rsidDel="00000000" w:rsidP="00000000" w:rsidRDefault="00000000" w:rsidRPr="00000000" w14:paraId="00000002">
      <w:pPr>
        <w:rPr/>
      </w:pPr>
      <w:r w:rsidDel="00000000" w:rsidR="00000000" w:rsidRPr="00000000">
        <w:rPr>
          <w:rtl w:val="0"/>
        </w:rPr>
        <w:t xml:space="preserve">Date missing/found July 13, 1995</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July 13, 1995, a maintenance crew was mowing grass in the median area commonly referred to as the “north split”. More specifically, 190 feet north and west of 13th and Lewis streets in Indianapolis. The maintenance crew discovered a decomposed human body under debris. The victim was later positively identified as Johanna Weaver, a Brightwood neighborhood resident and mother of two.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NA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African-American / Black</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