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15, 1966</w:t>
      </w:r>
    </w:p>
    <w:p w:rsidR="00000000" w:rsidDel="00000000" w:rsidP="00000000" w:rsidRDefault="00000000" w:rsidRPr="00000000" w14:paraId="00000002">
      <w:pPr>
        <w:rPr/>
      </w:pPr>
      <w:r w:rsidDel="00000000" w:rsidR="00000000" w:rsidRPr="00000000">
        <w:rPr>
          <w:rtl w:val="0"/>
        </w:rPr>
        <w:t xml:space="preserve">Date missing/found September 25, 1987</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Vicki was a bright young woman with her entire life ahead of her. She graduated from Lawrence Central High School in 1984, and was taking classes at Ivy Tech Community College. She loved animals, especially the family poodle, the BeeGees, and Corvettes. She had a witty sense of humor that she inherited from her mother that made her a magnet for new friends and relationships. She was dating a slightly older man at the time of her murder, one that was always sharply dressed and had money for fancy dinners and expensive outings. The day before her murder, he proposed to her while she was working at Central Hardware. She flatly refused, and he remarked "You'll see me again soon" before storming out of the shop. The next day, she and her mother were found dead in their apartment, bludgeoned to death with a hammer. Their car was missing from the driveway and has not been recovered. Neighbors reported that the neighborhood was experiencing an increase in break-ins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The case is currently at a standstill, with no leads or tips. If you have information, please call Detective Rogers with the Indianapolis PD at (317) 327-8386.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Brown</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